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D4" w:rsidRPr="008B303E" w:rsidRDefault="00071DD4" w:rsidP="007B4483">
      <w:pPr>
        <w:spacing w:after="0" w:line="360" w:lineRule="auto"/>
        <w:jc w:val="both"/>
        <w:rPr>
          <w:rFonts w:ascii="Palatino Linotype" w:hAnsi="Palatino Linotype" w:cs="Tahoma"/>
          <w:b/>
          <w:sz w:val="24"/>
          <w:szCs w:val="24"/>
        </w:rPr>
      </w:pPr>
      <w:r w:rsidRPr="008B303E">
        <w:rPr>
          <w:rFonts w:ascii="Palatino Linotype" w:hAnsi="Palatino Linotype" w:cs="Tahoma"/>
          <w:b/>
          <w:sz w:val="24"/>
          <w:szCs w:val="24"/>
        </w:rPr>
        <w:t>VOTO PARTICULAR QUE FORMULA EL COMISIONADO LUIS GUSTAVO PARRA NORIEGA, EN RELACIÓN CON LA RESOLUCIÓN DEL RECURSO DE REVISIÓN 03</w:t>
      </w:r>
      <w:r w:rsidR="007139EA">
        <w:rPr>
          <w:rFonts w:ascii="Palatino Linotype" w:hAnsi="Palatino Linotype" w:cs="Tahoma"/>
          <w:b/>
          <w:sz w:val="24"/>
          <w:szCs w:val="24"/>
        </w:rPr>
        <w:t>678</w:t>
      </w:r>
      <w:r w:rsidRPr="008B303E">
        <w:rPr>
          <w:rFonts w:ascii="Palatino Linotype" w:hAnsi="Palatino Linotype" w:cs="Tahoma"/>
          <w:b/>
          <w:bCs/>
          <w:sz w:val="24"/>
          <w:szCs w:val="24"/>
        </w:rPr>
        <w:t xml:space="preserve">/INFOEM/IP/RR/2018 </w:t>
      </w:r>
      <w:r w:rsidRPr="008B303E">
        <w:rPr>
          <w:rFonts w:ascii="Palatino Linotype" w:hAnsi="Palatino Linotype" w:cs="Tahoma"/>
          <w:b/>
          <w:sz w:val="24"/>
          <w:szCs w:val="24"/>
        </w:rPr>
        <w:t>EN CONTRA DE</w:t>
      </w:r>
      <w:r w:rsidR="006B59E0">
        <w:rPr>
          <w:rFonts w:ascii="Palatino Linotype" w:hAnsi="Palatino Linotype" w:cs="Tahoma"/>
          <w:b/>
          <w:sz w:val="24"/>
          <w:szCs w:val="24"/>
        </w:rPr>
        <w:t xml:space="preserve"> LA UNIVERSIDAD </w:t>
      </w:r>
      <w:r w:rsidR="007139EA">
        <w:rPr>
          <w:rFonts w:ascii="Palatino Linotype" w:hAnsi="Palatino Linotype" w:cs="Tahoma"/>
          <w:b/>
          <w:sz w:val="24"/>
          <w:szCs w:val="24"/>
        </w:rPr>
        <w:t>AUTÓNOMA DEL ESTADO DE MÉXICO</w:t>
      </w:r>
      <w:r w:rsidR="006B59E0">
        <w:rPr>
          <w:rFonts w:ascii="Palatino Linotype" w:hAnsi="Palatino Linotype" w:cs="Tahoma"/>
          <w:b/>
          <w:sz w:val="24"/>
          <w:szCs w:val="24"/>
        </w:rPr>
        <w:t>.</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B303E">
        <w:rPr>
          <w:rFonts w:ascii="Palatino Linotype" w:hAnsi="Palatino Linotype" w:cs="Tahoma"/>
          <w:b/>
          <w:sz w:val="24"/>
          <w:szCs w:val="24"/>
        </w:rPr>
        <w:t>Voto Particular</w:t>
      </w:r>
      <w:r w:rsidRPr="008B303E">
        <w:rPr>
          <w:rFonts w:ascii="Palatino Linotype" w:hAnsi="Palatino Linotype" w:cs="Tahoma"/>
          <w:sz w:val="24"/>
          <w:szCs w:val="24"/>
        </w:rPr>
        <w:t xml:space="preserve"> por no compartir en su totalidad las consideraciones que sustentan la Resolución del Recurso de Revisión 03</w:t>
      </w:r>
      <w:r w:rsidR="007139EA">
        <w:rPr>
          <w:rFonts w:ascii="Palatino Linotype" w:hAnsi="Palatino Linotype" w:cs="Tahoma"/>
          <w:sz w:val="24"/>
          <w:szCs w:val="24"/>
        </w:rPr>
        <w:t>678</w:t>
      </w:r>
      <w:r w:rsidRPr="008B303E">
        <w:rPr>
          <w:rFonts w:ascii="Palatino Linotype" w:hAnsi="Palatino Linotype" w:cs="Tahoma"/>
          <w:bCs/>
          <w:sz w:val="24"/>
          <w:szCs w:val="24"/>
        </w:rPr>
        <w:t>/INFOEM/IP/RR/201</w:t>
      </w:r>
      <w:r w:rsidR="00F86F4C">
        <w:rPr>
          <w:rFonts w:ascii="Palatino Linotype" w:hAnsi="Palatino Linotype" w:cs="Tahoma"/>
          <w:bCs/>
          <w:sz w:val="24"/>
          <w:szCs w:val="24"/>
        </w:rPr>
        <w:t>8</w:t>
      </w:r>
      <w:r w:rsidR="006812A4">
        <w:rPr>
          <w:rFonts w:ascii="Palatino Linotype" w:hAnsi="Palatino Linotype" w:cs="Tahoma"/>
          <w:bCs/>
          <w:sz w:val="24"/>
          <w:szCs w:val="24"/>
        </w:rPr>
        <w:t xml:space="preserve"> y acumulados</w:t>
      </w:r>
      <w:r w:rsidR="00F86F4C">
        <w:rPr>
          <w:rFonts w:ascii="Palatino Linotype" w:hAnsi="Palatino Linotype" w:cs="Tahoma"/>
          <w:bCs/>
          <w:sz w:val="24"/>
          <w:szCs w:val="24"/>
        </w:rPr>
        <w:t>.</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Como se advierte en los antecedentes de la resolución del recurso de revisión que nos ocupa, el particular requirió conocer lo siguiente:</w:t>
      </w:r>
    </w:p>
    <w:p w:rsidR="00071DD4" w:rsidRPr="00AF0152" w:rsidRDefault="00071DD4" w:rsidP="007B4483">
      <w:pPr>
        <w:spacing w:after="0" w:line="360" w:lineRule="auto"/>
        <w:ind w:left="567" w:right="567"/>
        <w:jc w:val="both"/>
        <w:rPr>
          <w:rFonts w:ascii="Palatino Linotype" w:hAnsi="Palatino Linotype" w:cs="Tahoma"/>
          <w:sz w:val="20"/>
          <w:szCs w:val="20"/>
        </w:rPr>
      </w:pPr>
    </w:p>
    <w:p w:rsidR="00AF0152" w:rsidRPr="00AF0152" w:rsidRDefault="007139EA" w:rsidP="007B4483">
      <w:pPr>
        <w:pStyle w:val="Prrafodelista"/>
        <w:numPr>
          <w:ilvl w:val="0"/>
          <w:numId w:val="3"/>
        </w:numPr>
        <w:spacing w:after="0" w:line="360" w:lineRule="auto"/>
        <w:ind w:left="567" w:right="567"/>
        <w:jc w:val="both"/>
        <w:rPr>
          <w:rFonts w:ascii="Palatino Linotype" w:eastAsia="Calibri" w:hAnsi="Palatino Linotype" w:cs="Arial"/>
          <w:i/>
          <w:sz w:val="20"/>
          <w:szCs w:val="20"/>
        </w:rPr>
      </w:pPr>
      <w:r>
        <w:rPr>
          <w:rFonts w:ascii="Palatino Linotype" w:hAnsi="Palatino Linotype"/>
          <w:b/>
          <w:sz w:val="20"/>
          <w:szCs w:val="20"/>
        </w:rPr>
        <w:t>00271/UAEM</w:t>
      </w:r>
      <w:r w:rsidR="00AF0152" w:rsidRPr="00AF0152">
        <w:rPr>
          <w:rFonts w:ascii="Palatino Linotype" w:hAnsi="Palatino Linotype"/>
          <w:b/>
          <w:sz w:val="20"/>
          <w:szCs w:val="20"/>
        </w:rPr>
        <w:t>/IP/2018</w:t>
      </w:r>
    </w:p>
    <w:p w:rsidR="00AF0152" w:rsidRDefault="00AF0152" w:rsidP="007B4483">
      <w:pPr>
        <w:spacing w:after="240" w:line="360" w:lineRule="auto"/>
        <w:ind w:left="567" w:right="567"/>
        <w:jc w:val="both"/>
        <w:rPr>
          <w:rFonts w:ascii="Palatino Linotype" w:eastAsia="Calibri" w:hAnsi="Palatino Linotype" w:cs="Arial"/>
          <w:i/>
          <w:sz w:val="20"/>
          <w:szCs w:val="20"/>
        </w:rPr>
      </w:pPr>
      <w:r w:rsidRPr="00AF0152">
        <w:rPr>
          <w:rFonts w:ascii="Palatino Linotype" w:eastAsia="Calibri" w:hAnsi="Palatino Linotype" w:cs="Arial"/>
          <w:i/>
          <w:sz w:val="20"/>
          <w:szCs w:val="20"/>
        </w:rPr>
        <w:t>“</w:t>
      </w:r>
      <w:proofErr w:type="spellStart"/>
      <w:r w:rsidR="007139EA" w:rsidRPr="002C0F4F">
        <w:rPr>
          <w:rFonts w:ascii="Palatino Linotype" w:eastAsia="Times New Roman" w:hAnsi="Palatino Linotype" w:cs="Times New Roman"/>
          <w:i/>
        </w:rPr>
        <w:t>Perdon</w:t>
      </w:r>
      <w:proofErr w:type="spellEnd"/>
      <w:r w:rsidR="007139EA" w:rsidRPr="002C0F4F">
        <w:rPr>
          <w:rFonts w:ascii="Palatino Linotype" w:eastAsia="Times New Roman" w:hAnsi="Palatino Linotype" w:cs="Times New Roman"/>
          <w:i/>
        </w:rPr>
        <w:t xml:space="preserve"> no se </w:t>
      </w:r>
      <w:proofErr w:type="spellStart"/>
      <w:r w:rsidR="007139EA" w:rsidRPr="002C0F4F">
        <w:rPr>
          <w:rFonts w:ascii="Palatino Linotype" w:eastAsia="Times New Roman" w:hAnsi="Palatino Linotype" w:cs="Times New Roman"/>
          <w:i/>
        </w:rPr>
        <w:t>escribio</w:t>
      </w:r>
      <w:proofErr w:type="spellEnd"/>
      <w:r w:rsidR="007139EA" w:rsidRPr="002C0F4F">
        <w:rPr>
          <w:rFonts w:ascii="Palatino Linotype" w:eastAsia="Times New Roman" w:hAnsi="Palatino Linotype" w:cs="Times New Roman"/>
          <w:i/>
        </w:rPr>
        <w:t xml:space="preserve"> bien en la otra solicitud: DE LA ASIGNATURA DE INGLES PROPEDEUTICO 1 Y PROPEDEUTICO 2, SOLICITO: TEMARIO APUNTES BATERIA DE PEREGUNSTA DE EXMANES QUE NO SE UTILICEN GRACIAS</w:t>
      </w:r>
      <w:r w:rsidR="00CA4BCB">
        <w:rPr>
          <w:rFonts w:ascii="Palatino Linotype" w:eastAsia="Calibri" w:hAnsi="Palatino Linotype" w:cs="Arial"/>
          <w:i/>
          <w:sz w:val="20"/>
          <w:szCs w:val="20"/>
        </w:rPr>
        <w:t>” (S</w:t>
      </w:r>
      <w:r w:rsidRPr="00AF0152">
        <w:rPr>
          <w:rFonts w:ascii="Palatino Linotype" w:eastAsia="Calibri" w:hAnsi="Palatino Linotype" w:cs="Arial"/>
          <w:i/>
          <w:sz w:val="20"/>
          <w:szCs w:val="20"/>
        </w:rPr>
        <w:t>ic</w:t>
      </w:r>
      <w:r w:rsidR="00056BBF">
        <w:rPr>
          <w:rFonts w:ascii="Palatino Linotype" w:eastAsia="Calibri" w:hAnsi="Palatino Linotype" w:cs="Arial"/>
          <w:i/>
          <w:sz w:val="20"/>
          <w:szCs w:val="20"/>
        </w:rPr>
        <w:t>.</w:t>
      </w:r>
      <w:r w:rsidRPr="00AF0152">
        <w:rPr>
          <w:rFonts w:ascii="Palatino Linotype" w:eastAsia="Calibri" w:hAnsi="Palatino Linotype" w:cs="Arial"/>
          <w:i/>
          <w:sz w:val="20"/>
          <w:szCs w:val="20"/>
        </w:rPr>
        <w:t>)</w:t>
      </w:r>
    </w:p>
    <w:p w:rsidR="00AF0152"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lastRenderedPageBreak/>
        <w:t xml:space="preserve">En </w:t>
      </w:r>
      <w:r w:rsidR="00AF0152">
        <w:rPr>
          <w:rFonts w:ascii="Palatino Linotype" w:hAnsi="Palatino Linotype" w:cs="Tahoma"/>
          <w:sz w:val="24"/>
          <w:szCs w:val="24"/>
        </w:rPr>
        <w:t xml:space="preserve">atención a la solicitud </w:t>
      </w:r>
      <w:r w:rsidR="00553CAC">
        <w:rPr>
          <w:rFonts w:ascii="Palatino Linotype" w:hAnsi="Palatino Linotype" w:cs="Tahoma"/>
          <w:sz w:val="24"/>
          <w:szCs w:val="24"/>
        </w:rPr>
        <w:t xml:space="preserve">y posterior al desahogo de una aclaración en la cual el particular refirió requerir únicamente lo relacionado a la Licenciatura en Derecho de la Facultad de Derecho de la UAEM, </w:t>
      </w:r>
      <w:r w:rsidR="00AF0152">
        <w:rPr>
          <w:rFonts w:ascii="Palatino Linotype" w:hAnsi="Palatino Linotype" w:cs="Tahoma"/>
          <w:sz w:val="24"/>
          <w:szCs w:val="24"/>
        </w:rPr>
        <w:t>el Sujeto Obligado entregó diversos documentos; sin embargo, el particular interpuso recurso de revisión en el siguiente sentido:</w:t>
      </w:r>
    </w:p>
    <w:p w:rsidR="009F3C0A" w:rsidRDefault="009F3C0A" w:rsidP="007B4483">
      <w:pPr>
        <w:pStyle w:val="Prrafodelista"/>
        <w:spacing w:line="360" w:lineRule="auto"/>
        <w:ind w:left="567" w:right="567"/>
        <w:jc w:val="both"/>
        <w:rPr>
          <w:rFonts w:ascii="Palatino Linotype" w:hAnsi="Palatino Linotype"/>
          <w:b/>
          <w:sz w:val="20"/>
          <w:szCs w:val="20"/>
        </w:rPr>
      </w:pPr>
    </w:p>
    <w:p w:rsidR="00AF0152" w:rsidRPr="00AF0152" w:rsidRDefault="00AF0152" w:rsidP="007B4483">
      <w:pPr>
        <w:pStyle w:val="Prrafodelista"/>
        <w:spacing w:line="360" w:lineRule="auto"/>
        <w:ind w:left="567" w:right="567"/>
        <w:jc w:val="both"/>
        <w:rPr>
          <w:rFonts w:ascii="Palatino Linotype" w:hAnsi="Palatino Linotype" w:cs="Arial"/>
          <w:sz w:val="20"/>
          <w:szCs w:val="20"/>
        </w:rPr>
      </w:pPr>
      <w:r w:rsidRPr="00AF0152">
        <w:rPr>
          <w:rFonts w:ascii="Palatino Linotype" w:hAnsi="Palatino Linotype"/>
          <w:b/>
          <w:sz w:val="20"/>
          <w:szCs w:val="20"/>
        </w:rPr>
        <w:t>Acto impugnado:</w:t>
      </w:r>
      <w:r w:rsidRPr="00AF0152">
        <w:rPr>
          <w:rStyle w:val="Ttulo2Car"/>
          <w:rFonts w:ascii="Palatino Linotype" w:hAnsi="Palatino Linotype"/>
          <w:b/>
          <w:i/>
          <w:sz w:val="20"/>
          <w:szCs w:val="20"/>
        </w:rPr>
        <w:t xml:space="preserve"> </w:t>
      </w:r>
      <w:r w:rsidRPr="00AF0152">
        <w:rPr>
          <w:rFonts w:ascii="Palatino Linotype" w:hAnsi="Palatino Linotype"/>
          <w:sz w:val="20"/>
          <w:szCs w:val="20"/>
        </w:rPr>
        <w:t>“</w:t>
      </w:r>
      <w:r w:rsidR="00B16EBE">
        <w:rPr>
          <w:rFonts w:ascii="Palatino Linotype" w:hAnsi="Palatino Linotype"/>
          <w:i/>
          <w:sz w:val="20"/>
          <w:szCs w:val="20"/>
        </w:rPr>
        <w:t>respuesta</w:t>
      </w:r>
      <w:r w:rsidRPr="00AF0152">
        <w:rPr>
          <w:rFonts w:ascii="Palatino Linotype" w:hAnsi="Palatino Linotype"/>
          <w:sz w:val="20"/>
          <w:szCs w:val="20"/>
        </w:rPr>
        <w:t>"</w:t>
      </w:r>
      <w:r w:rsidRPr="00AF0152">
        <w:rPr>
          <w:rFonts w:ascii="Palatino Linotype" w:eastAsia="Calibri" w:hAnsi="Palatino Linotype" w:cs="Arial"/>
          <w:sz w:val="20"/>
          <w:szCs w:val="20"/>
        </w:rPr>
        <w:t xml:space="preserve"> (Sic); Y</w:t>
      </w:r>
    </w:p>
    <w:p w:rsidR="00AF0152" w:rsidRPr="00AF0152" w:rsidRDefault="00AF0152" w:rsidP="007B4483">
      <w:pPr>
        <w:pStyle w:val="Prrafodelista"/>
        <w:spacing w:line="360" w:lineRule="auto"/>
        <w:ind w:left="567" w:right="567"/>
        <w:jc w:val="both"/>
        <w:rPr>
          <w:rFonts w:ascii="Palatino Linotype" w:hAnsi="Palatino Linotype" w:cs="Arial"/>
          <w:sz w:val="20"/>
          <w:szCs w:val="20"/>
        </w:rPr>
      </w:pPr>
      <w:r w:rsidRPr="00AF0152">
        <w:rPr>
          <w:rFonts w:ascii="Palatino Linotype" w:hAnsi="Palatino Linotype"/>
          <w:b/>
          <w:sz w:val="20"/>
          <w:szCs w:val="20"/>
        </w:rPr>
        <w:t>Razones o Motivos de inconformidad:</w:t>
      </w:r>
      <w:r w:rsidRPr="00AF0152">
        <w:rPr>
          <w:rStyle w:val="Ttulo2Car"/>
          <w:rFonts w:ascii="Palatino Linotype" w:hAnsi="Palatino Linotype"/>
          <w:b/>
          <w:sz w:val="20"/>
          <w:szCs w:val="20"/>
        </w:rPr>
        <w:t xml:space="preserve"> </w:t>
      </w:r>
      <w:r w:rsidRPr="00AF0152">
        <w:rPr>
          <w:rFonts w:ascii="Palatino Linotype" w:hAnsi="Palatino Linotype"/>
          <w:i/>
          <w:sz w:val="20"/>
          <w:szCs w:val="20"/>
        </w:rPr>
        <w:t>“</w:t>
      </w:r>
      <w:r w:rsidR="00B16EBE" w:rsidRPr="00550AFF">
        <w:rPr>
          <w:rFonts w:ascii="Palatino Linotype" w:hAnsi="Palatino Linotype"/>
          <w:i/>
        </w:rPr>
        <w:t>NO CORRESPONDE CON LO SOLICITTDO: SOLICITE PROGRAMA Y/O TEMARIO DE INGLES PROPEDEUTICO 1 DE LA FAC, DE DERECHO DE LA UAMEX</w:t>
      </w:r>
      <w:r w:rsidRPr="00AF0152">
        <w:rPr>
          <w:rFonts w:ascii="Palatino Linotype" w:hAnsi="Palatino Linotype"/>
          <w:i/>
          <w:sz w:val="20"/>
          <w:szCs w:val="20"/>
        </w:rPr>
        <w:t xml:space="preserve">” </w:t>
      </w:r>
      <w:r w:rsidRPr="00AF0152">
        <w:rPr>
          <w:rFonts w:ascii="Palatino Linotype" w:hAnsi="Palatino Linotype" w:cs="Arial"/>
          <w:i/>
          <w:sz w:val="20"/>
          <w:szCs w:val="20"/>
        </w:rPr>
        <w:t>(Sic)</w:t>
      </w:r>
      <w:r w:rsidRPr="00AF0152">
        <w:rPr>
          <w:rFonts w:ascii="Palatino Linotype" w:hAnsi="Palatino Linotype" w:cs="Arial"/>
          <w:sz w:val="20"/>
          <w:szCs w:val="20"/>
        </w:rPr>
        <w:t xml:space="preserve"> </w:t>
      </w:r>
    </w:p>
    <w:p w:rsidR="00071DD4" w:rsidRDefault="00AF0152" w:rsidP="007B4483">
      <w:pPr>
        <w:spacing w:after="0" w:line="360" w:lineRule="auto"/>
        <w:jc w:val="both"/>
        <w:rPr>
          <w:rFonts w:ascii="Palatino Linotype" w:hAnsi="Palatino Linotype" w:cs="Tahoma"/>
          <w:sz w:val="24"/>
          <w:szCs w:val="24"/>
        </w:rPr>
      </w:pPr>
      <w:r>
        <w:rPr>
          <w:rFonts w:ascii="Palatino Linotype" w:hAnsi="Palatino Linotype" w:cs="Tahoma"/>
          <w:sz w:val="24"/>
          <w:szCs w:val="24"/>
        </w:rPr>
        <w:t>Como se advierte de lo anterior,</w:t>
      </w:r>
      <w:r w:rsidR="00DF1276">
        <w:rPr>
          <w:rFonts w:ascii="Palatino Linotype" w:hAnsi="Palatino Linotype" w:cs="Tahoma"/>
          <w:sz w:val="24"/>
          <w:szCs w:val="24"/>
        </w:rPr>
        <w:t xml:space="preserve"> el particular únicamente se inconforma por </w:t>
      </w:r>
      <w:r w:rsidR="00B16EBE">
        <w:rPr>
          <w:rFonts w:ascii="Palatino Linotype" w:hAnsi="Palatino Linotype" w:cs="Tahoma"/>
          <w:sz w:val="24"/>
          <w:szCs w:val="24"/>
        </w:rPr>
        <w:t>el Temario de Inglés Propedéutico</w:t>
      </w:r>
      <w:r w:rsidR="00340519">
        <w:rPr>
          <w:rFonts w:ascii="Palatino Linotype" w:hAnsi="Palatino Linotype" w:cs="Tahoma"/>
          <w:sz w:val="24"/>
          <w:szCs w:val="24"/>
        </w:rPr>
        <w:t xml:space="preserve"> 1</w:t>
      </w:r>
      <w:r w:rsidR="00B16EBE">
        <w:rPr>
          <w:rFonts w:ascii="Palatino Linotype" w:hAnsi="Palatino Linotype" w:cs="Tahoma"/>
          <w:sz w:val="24"/>
          <w:szCs w:val="24"/>
        </w:rPr>
        <w:t>,</w:t>
      </w:r>
      <w:r w:rsidR="00DF1276">
        <w:rPr>
          <w:rFonts w:ascii="Palatino Linotype" w:hAnsi="Palatino Linotype" w:cs="Tahoma"/>
          <w:sz w:val="24"/>
          <w:szCs w:val="24"/>
        </w:rPr>
        <w:t xml:space="preserve"> pero la Ponencia Resolutora determina bajo la figura de la suplencia de la queja pronunciarse sobre aspectos que no fueron recurridos por el interesado.</w:t>
      </w:r>
    </w:p>
    <w:p w:rsidR="00DF1276" w:rsidRDefault="00DF1276" w:rsidP="007B4483">
      <w:pPr>
        <w:spacing w:after="0" w:line="360" w:lineRule="auto"/>
        <w:jc w:val="both"/>
        <w:rPr>
          <w:rFonts w:ascii="Palatino Linotype" w:hAnsi="Palatino Linotype" w:cs="Tahoma"/>
          <w:sz w:val="24"/>
          <w:szCs w:val="24"/>
        </w:rPr>
      </w:pPr>
    </w:p>
    <w:p w:rsidR="00340519" w:rsidRDefault="00340519" w:rsidP="00E30C42">
      <w:pPr>
        <w:spacing w:after="0" w:line="360" w:lineRule="auto"/>
        <w:ind w:left="567" w:right="567"/>
        <w:jc w:val="both"/>
        <w:rPr>
          <w:rFonts w:ascii="Palatino Linotype" w:hAnsi="Palatino Linotype"/>
          <w:i/>
          <w:sz w:val="20"/>
          <w:szCs w:val="20"/>
          <w:lang w:val="es-MX"/>
        </w:rPr>
      </w:pPr>
      <w:r>
        <w:rPr>
          <w:rFonts w:ascii="Palatino Linotype" w:hAnsi="Palatino Linotype"/>
          <w:i/>
          <w:sz w:val="20"/>
          <w:szCs w:val="20"/>
          <w:lang w:val="es-MX"/>
        </w:rPr>
        <w:t>“</w:t>
      </w:r>
      <w:r w:rsidR="00E30C42">
        <w:rPr>
          <w:rFonts w:ascii="Palatino Linotype" w:hAnsi="Palatino Linotype"/>
          <w:i/>
          <w:sz w:val="20"/>
          <w:szCs w:val="20"/>
          <w:lang w:val="es-MX"/>
        </w:rPr>
        <w:t>…</w:t>
      </w:r>
      <w:r w:rsidR="00E30C42" w:rsidRPr="00E30C42">
        <w:rPr>
          <w:rFonts w:ascii="Palatino Linotype" w:hAnsi="Palatino Linotype"/>
          <w:i/>
          <w:sz w:val="20"/>
          <w:szCs w:val="20"/>
          <w:lang w:val="es-MX"/>
        </w:rPr>
        <w:t>Sin embargo, la particular fue muy precisa en requerir de igual forma el  temario de la asignatura inglés propedéutico 1, a lo cual el SUJETO OBLIGADO refiere que el temario de la Unidad de Aprendizaje Ingles Propedéutico 2 se utiliza en la Unidad de Aprendizaje Ingles Propedéutico 1, en tal consideración, la particular señaló a través del medio de impugnación que hoy nos ocupa que “NO CORRESPONDE CON LO SOLICITTDO: SOLICITE PROGRAMA Y/O TEMARIO DE INGLES PROPEDEUTICO 1 DE LA FAC, DE DERECHO DE LA UAMEX</w:t>
      </w:r>
      <w:r>
        <w:rPr>
          <w:rFonts w:ascii="Palatino Linotype" w:hAnsi="Palatino Linotype"/>
          <w:i/>
          <w:sz w:val="20"/>
          <w:szCs w:val="20"/>
          <w:lang w:val="es-MX"/>
        </w:rPr>
        <w:t>.</w:t>
      </w:r>
    </w:p>
    <w:p w:rsidR="00DF1276" w:rsidRDefault="00340519" w:rsidP="00E30C42">
      <w:pPr>
        <w:spacing w:after="0" w:line="360" w:lineRule="auto"/>
        <w:ind w:left="567" w:right="567"/>
        <w:jc w:val="both"/>
        <w:rPr>
          <w:rFonts w:ascii="Palatino Linotype" w:hAnsi="Palatino Linotype"/>
          <w:i/>
          <w:sz w:val="20"/>
          <w:szCs w:val="20"/>
          <w:lang w:val="es-MX"/>
        </w:rPr>
      </w:pPr>
      <w:r>
        <w:rPr>
          <w:rFonts w:ascii="Palatino Linotype" w:hAnsi="Palatino Linotype"/>
          <w:i/>
          <w:sz w:val="20"/>
          <w:szCs w:val="20"/>
          <w:lang w:val="es-MX"/>
        </w:rPr>
        <w:t xml:space="preserve">… </w:t>
      </w:r>
      <w:r w:rsidRPr="00340519">
        <w:rPr>
          <w:rFonts w:ascii="Palatino Linotype" w:hAnsi="Palatino Linotype"/>
          <w:i/>
          <w:sz w:val="20"/>
          <w:szCs w:val="20"/>
          <w:lang w:val="es-MX"/>
        </w:rPr>
        <w:t>la particular al no ser experta en la materia, eventualmente pudiera no indicar correctamente la información que desea  obtener, y siendo que este Órgano Garante, tiene la obligación de garantizar el acceso a la información en la medida de lo posible, atendiendo a la suplencia de la deficiencia</w:t>
      </w:r>
      <w:r w:rsidR="00E30C42" w:rsidRPr="00E30C42">
        <w:rPr>
          <w:rFonts w:ascii="Palatino Linotype" w:hAnsi="Palatino Linotype"/>
          <w:i/>
          <w:sz w:val="20"/>
          <w:szCs w:val="20"/>
          <w:lang w:val="es-MX"/>
        </w:rPr>
        <w:t xml:space="preserve">” (Sic), </w:t>
      </w:r>
    </w:p>
    <w:p w:rsidR="00071DD4" w:rsidRDefault="00D0798A" w:rsidP="007B4483">
      <w:pPr>
        <w:spacing w:after="0" w:line="360" w:lineRule="auto"/>
        <w:jc w:val="both"/>
        <w:rPr>
          <w:rFonts w:ascii="Palatino Linotype" w:hAnsi="Palatino Linotype" w:cs="Tahoma"/>
          <w:spacing w:val="-2"/>
          <w:sz w:val="24"/>
          <w:szCs w:val="24"/>
        </w:rPr>
      </w:pPr>
      <w:r>
        <w:rPr>
          <w:rFonts w:ascii="Palatino Linotype" w:hAnsi="Palatino Linotype" w:cs="Tahoma"/>
          <w:spacing w:val="-2"/>
          <w:sz w:val="24"/>
          <w:szCs w:val="24"/>
        </w:rPr>
        <w:lastRenderedPageBreak/>
        <w:t xml:space="preserve">Así, </w:t>
      </w:r>
      <w:r w:rsidR="00DF1276">
        <w:rPr>
          <w:rFonts w:ascii="Palatino Linotype" w:hAnsi="Palatino Linotype" w:cs="Tahoma"/>
          <w:spacing w:val="-2"/>
          <w:sz w:val="24"/>
          <w:szCs w:val="24"/>
        </w:rPr>
        <w:t xml:space="preserve">se considera que aquello que no fue recurrido por el particular </w:t>
      </w:r>
      <w:r w:rsidR="00071DD4" w:rsidRPr="008B303E">
        <w:rPr>
          <w:rFonts w:ascii="Palatino Linotype" w:hAnsi="Palatino Linotype" w:cs="Tahoma"/>
          <w:spacing w:val="-2"/>
          <w:sz w:val="24"/>
          <w:szCs w:val="24"/>
        </w:rPr>
        <w:t xml:space="preserve">no debe ser motivo de análisis, pues es un principio procesal elemental que </w:t>
      </w:r>
      <w:r w:rsidR="00071DD4" w:rsidRPr="008B303E">
        <w:rPr>
          <w:rFonts w:ascii="Palatino Linotype" w:hAnsi="Palatino Linotype" w:cs="Tahoma"/>
          <w:b/>
          <w:spacing w:val="-2"/>
          <w:sz w:val="24"/>
          <w:szCs w:val="24"/>
        </w:rPr>
        <w:t>cualquier pretensión deducida ante los órganos jurisdiccionales es una manifestación de voluntad</w:t>
      </w:r>
      <w:r w:rsidR="00071DD4" w:rsidRPr="008B303E">
        <w:rPr>
          <w:rFonts w:ascii="Palatino Linotype" w:hAnsi="Palatino Linotype" w:cs="Tahoma"/>
          <w:spacing w:val="-2"/>
          <w:sz w:val="24"/>
          <w:szCs w:val="24"/>
        </w:rPr>
        <w:t>, expuesta como razonamiento estratégico, atinente a un fin concreto, que es reconocer y declarar en la sentencia al pretensor como titular de un derecho cuya realización y efectos reclama.</w:t>
      </w:r>
    </w:p>
    <w:p w:rsidR="00340519" w:rsidRDefault="00340519" w:rsidP="007B4483">
      <w:pPr>
        <w:spacing w:after="0" w:line="360" w:lineRule="auto"/>
        <w:jc w:val="both"/>
        <w:rPr>
          <w:rFonts w:ascii="Palatino Linotype" w:hAnsi="Palatino Linotype" w:cs="Tahoma"/>
          <w:spacing w:val="-2"/>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De ahí que, si no existe razón en la causa </w:t>
      </w:r>
      <w:proofErr w:type="spellStart"/>
      <w:r w:rsidRPr="008B303E">
        <w:rPr>
          <w:rFonts w:ascii="Palatino Linotype" w:hAnsi="Palatino Linotype" w:cs="Tahoma"/>
          <w:i/>
          <w:sz w:val="24"/>
          <w:szCs w:val="24"/>
        </w:rPr>
        <w:t>petendi</w:t>
      </w:r>
      <w:proofErr w:type="spellEnd"/>
      <w:r w:rsidRPr="008B303E">
        <w:rPr>
          <w:rFonts w:ascii="Palatino Linotype" w:hAnsi="Palatino Linotype" w:cs="Tahoma"/>
          <w:i/>
          <w:sz w:val="24"/>
          <w:szCs w:val="24"/>
        </w:rPr>
        <w:t xml:space="preserve"> </w:t>
      </w:r>
      <w:r w:rsidRPr="008B303E">
        <w:rPr>
          <w:rFonts w:ascii="Palatino Linotype" w:hAnsi="Palatino Linotype" w:cs="Tahoma"/>
          <w:sz w:val="24"/>
          <w:szCs w:val="24"/>
        </w:rPr>
        <w:t>(que el inconforme precise el agravio o lesión que le cause el acto reclamado), en relación con la respuesta otorgada por el Sujeto Obligado, de forma tal que permitan a este Instituto determinar mediante resolución fundada y motivada una consecuencia jurídica sobre los actos recaídos a dicho punto, la respuesta que se otorgó al mismo no debe ser analizada.</w:t>
      </w:r>
    </w:p>
    <w:p w:rsidR="00071DD4" w:rsidRPr="008B303E" w:rsidRDefault="00071DD4" w:rsidP="007B4483">
      <w:pPr>
        <w:spacing w:after="0" w:line="360" w:lineRule="auto"/>
        <w:jc w:val="both"/>
        <w:rPr>
          <w:rFonts w:ascii="Palatino Linotype" w:hAnsi="Palatino Linotype" w:cs="Tahoma"/>
          <w:sz w:val="24"/>
          <w:szCs w:val="24"/>
        </w:rPr>
      </w:pPr>
    </w:p>
    <w:p w:rsidR="00071DD4" w:rsidRDefault="00071DD4" w:rsidP="007B4483">
      <w:pPr>
        <w:spacing w:after="0" w:line="360" w:lineRule="auto"/>
        <w:jc w:val="both"/>
        <w:rPr>
          <w:rFonts w:ascii="Palatino Linotype" w:hAnsi="Palatino Linotype" w:cs="Tahoma"/>
          <w:bCs/>
          <w:iCs/>
          <w:sz w:val="24"/>
          <w:szCs w:val="24"/>
        </w:rPr>
      </w:pPr>
      <w:r w:rsidRPr="008B303E">
        <w:rPr>
          <w:rFonts w:ascii="Palatino Linotype" w:hAnsi="Palatino Linotype" w:cs="Tahoma"/>
          <w:sz w:val="24"/>
          <w:szCs w:val="24"/>
        </w:rPr>
        <w:t xml:space="preserve">En ese sentido, la respuesta o falta de respuesta a alguna parte de la solicitud debe considerarse un acto consentido tácitamente en razón de que, </w:t>
      </w:r>
      <w:r w:rsidRPr="008B303E">
        <w:rPr>
          <w:rFonts w:ascii="Palatino Linotype" w:hAnsi="Palatino Linotype" w:cs="Tahoma"/>
          <w:bCs/>
          <w:iCs/>
          <w:sz w:val="24"/>
          <w:szCs w:val="24"/>
        </w:rPr>
        <w:t xml:space="preserve">cuando no se reclaman los actos de autoridad en la vía y plazos establecidos en la Ley, </w:t>
      </w:r>
      <w:r w:rsidRPr="008B303E">
        <w:rPr>
          <w:rFonts w:ascii="Palatino Linotype" w:hAnsi="Palatino Linotype" w:cs="Tahoma"/>
          <w:b/>
          <w:bCs/>
          <w:iCs/>
          <w:sz w:val="24"/>
          <w:szCs w:val="24"/>
        </w:rPr>
        <w:t xml:space="preserve">se presume que el particular está conforme con los mismos, </w:t>
      </w:r>
      <w:r w:rsidRPr="008B303E">
        <w:rPr>
          <w:rFonts w:ascii="Palatino Linotype" w:hAnsi="Palatino Linotype" w:cs="Tahoma"/>
          <w:bCs/>
          <w:iCs/>
          <w:sz w:val="24"/>
          <w:szCs w:val="24"/>
        </w:rPr>
        <w:t xml:space="preserve">de acuerdo a lo plasmado en la </w:t>
      </w:r>
      <w:r w:rsidRPr="008B303E">
        <w:rPr>
          <w:rFonts w:ascii="Palatino Linotype" w:hAnsi="Palatino Linotype" w:cs="Tahoma"/>
          <w:sz w:val="24"/>
          <w:szCs w:val="24"/>
        </w:rPr>
        <w:t>Jurisprudencia “ACTOS CONSENTIDOS TACITAMENTE” (</w:t>
      </w:r>
      <w:r w:rsidRPr="008B303E">
        <w:rPr>
          <w:rFonts w:ascii="Palatino Linotype" w:hAnsi="Palatino Linotype" w:cs="Tahoma"/>
          <w:bCs/>
          <w:iCs/>
          <w:sz w:val="24"/>
          <w:szCs w:val="24"/>
        </w:rPr>
        <w:t>Semanario Judicial de la Federación y su Gaceta, Quinta Época,</w:t>
      </w:r>
      <w:r w:rsidRPr="008B303E">
        <w:rPr>
          <w:rFonts w:ascii="Palatino Linotype" w:hAnsi="Palatino Linotype" w:cs="Tahoma"/>
          <w:sz w:val="24"/>
          <w:szCs w:val="24"/>
        </w:rPr>
        <w:t xml:space="preserve"> Tomo VI,</w:t>
      </w:r>
      <w:r w:rsidRPr="008B303E">
        <w:rPr>
          <w:rFonts w:ascii="Palatino Linotype" w:hAnsi="Palatino Linotype" w:cs="Tahoma"/>
          <w:bCs/>
          <w:iCs/>
          <w:sz w:val="24"/>
          <w:szCs w:val="24"/>
        </w:rPr>
        <w:t xml:space="preserve"> 1995, pág. 11.)</w:t>
      </w:r>
    </w:p>
    <w:p w:rsidR="007B4483" w:rsidRDefault="007B4483" w:rsidP="007B4483">
      <w:pPr>
        <w:spacing w:after="0" w:line="360" w:lineRule="auto"/>
        <w:jc w:val="both"/>
        <w:rPr>
          <w:rFonts w:ascii="Palatino Linotype" w:hAnsi="Palatino Linotype" w:cs="Tahoma"/>
          <w:bCs/>
          <w:iCs/>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bCs/>
          <w:iCs/>
          <w:sz w:val="24"/>
          <w:szCs w:val="24"/>
        </w:rPr>
        <w:t xml:space="preserve">En ese orden de ideas, la Tesis Aislada “CONSENTIMIENTO TÁCITO DEL ACTO RECLAMADO EN AMPARO. ELEMENTOS PARA PRESUMIRLO.” (Semanario Judicial de la Federación, Octava Época, Tomo IX, junio de 1992, pág. 364), establece los elementos para presumir el consentimiento tácito del acto reclamado en el </w:t>
      </w:r>
      <w:r w:rsidRPr="008B303E">
        <w:rPr>
          <w:rFonts w:ascii="Palatino Linotype" w:hAnsi="Palatino Linotype" w:cs="Tahoma"/>
          <w:bCs/>
          <w:iCs/>
          <w:sz w:val="24"/>
          <w:szCs w:val="24"/>
        </w:rPr>
        <w:lastRenderedPageBreak/>
        <w:t xml:space="preserve">amparo, a saber, los siguientes: i) Un acto de autoridad; ii) Una persona afectada por el hecho; iii) La posibilidad de promover el juicio de amparo contra el acto en cuestión; iv) El plazo para el ejercicio de dicha acción y v) El trascurso de ese lapso sin haberse presentando inconformidad. </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Desde mi perspectiva en el presenta caso, toda vez que existe: un acto de autoridad, la respuesta a la solicitud de acceso a la información; una persona afectada por el hecho -el ahora recurrente-;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un plazo legal de quince días hábiles para la interposición del recurso de revisión, conforme al artículo 178 del ordenamiento legal en cita y, que transcurrió el plazo sin que el ahora recurrente manifestara queja alguna con la respuesta dada, debe considerarse que la respuesta otorgada por el Sujeto Obligado a dicho contenido de información es un acto consentido tácitamente.</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En ese orden de ideas, considero que dentro de la Resolución no debió agregarse el pronunciamiento y análisis respecto </w:t>
      </w:r>
      <w:r w:rsidR="00997769">
        <w:rPr>
          <w:rFonts w:ascii="Palatino Linotype" w:hAnsi="Palatino Linotype" w:cs="Tahoma"/>
          <w:sz w:val="24"/>
          <w:szCs w:val="24"/>
        </w:rPr>
        <w:t xml:space="preserve">de los puntos que </w:t>
      </w:r>
      <w:r w:rsidRPr="008B303E">
        <w:rPr>
          <w:rFonts w:ascii="Palatino Linotype" w:hAnsi="Palatino Linotype" w:cs="Tahoma"/>
          <w:sz w:val="24"/>
          <w:szCs w:val="24"/>
        </w:rPr>
        <w:t>no fue</w:t>
      </w:r>
      <w:r w:rsidR="00997769">
        <w:rPr>
          <w:rFonts w:ascii="Palatino Linotype" w:hAnsi="Palatino Linotype" w:cs="Tahoma"/>
          <w:sz w:val="24"/>
          <w:szCs w:val="24"/>
        </w:rPr>
        <w:t>ron</w:t>
      </w:r>
      <w:r w:rsidRPr="008B303E">
        <w:rPr>
          <w:rFonts w:ascii="Palatino Linotype" w:hAnsi="Palatino Linotype" w:cs="Tahoma"/>
          <w:sz w:val="24"/>
          <w:szCs w:val="24"/>
        </w:rPr>
        <w:t xml:space="preserve"> motivo de inconformidad por la parte recurrente.</w:t>
      </w:r>
    </w:p>
    <w:p w:rsidR="00071DD4" w:rsidRPr="008B303E" w:rsidRDefault="00071DD4" w:rsidP="007B4483">
      <w:pPr>
        <w:spacing w:after="0" w:line="360" w:lineRule="auto"/>
        <w:jc w:val="both"/>
        <w:rPr>
          <w:rFonts w:ascii="Palatino Linotype" w:hAnsi="Palatino Linotype" w:cs="Tahoma"/>
          <w:sz w:val="24"/>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Por lo anterior, es que desde la óptica de un servidor, no se debe</w:t>
      </w:r>
      <w:r w:rsidR="00E736A9">
        <w:rPr>
          <w:rFonts w:ascii="Palatino Linotype" w:hAnsi="Palatino Linotype" w:cs="Tahoma"/>
          <w:sz w:val="24"/>
          <w:szCs w:val="24"/>
        </w:rPr>
        <w:t>n</w:t>
      </w:r>
      <w:r w:rsidRPr="008B303E">
        <w:rPr>
          <w:rFonts w:ascii="Palatino Linotype" w:hAnsi="Palatino Linotype" w:cs="Tahoma"/>
          <w:sz w:val="24"/>
          <w:szCs w:val="24"/>
        </w:rPr>
        <w:t xml:space="preserve"> añadir a la </w:t>
      </w:r>
      <w:r w:rsidRPr="008B303E">
        <w:rPr>
          <w:rFonts w:ascii="Palatino Linotype" w:hAnsi="Palatino Linotype" w:cs="Tahoma"/>
          <w:i/>
          <w:sz w:val="24"/>
          <w:szCs w:val="24"/>
        </w:rPr>
        <w:t xml:space="preserve">Litis </w:t>
      </w:r>
      <w:r w:rsidRPr="008B303E">
        <w:rPr>
          <w:rFonts w:ascii="Palatino Linotype" w:hAnsi="Palatino Linotype" w:cs="Tahoma"/>
          <w:sz w:val="24"/>
          <w:szCs w:val="24"/>
        </w:rPr>
        <w:t xml:space="preserve">de la presente resolución cuestiones que no fueron motivo de reclamo, toda vez que el recurrente contó con garantías para hacer valer su inconformidad, como el recurso </w:t>
      </w:r>
      <w:r w:rsidRPr="008B303E">
        <w:rPr>
          <w:rFonts w:ascii="Palatino Linotype" w:hAnsi="Palatino Linotype" w:cs="Tahoma"/>
          <w:sz w:val="24"/>
          <w:szCs w:val="24"/>
        </w:rPr>
        <w:lastRenderedPageBreak/>
        <w:t xml:space="preserve">de revisión en materia de transparencia y un tiempo razonable para presentar el medio de impugnación ante una autoridad especializada, como lo es este Instituto, por lo que el hecho de que esta autoridad </w:t>
      </w:r>
      <w:r w:rsidR="00E736A9" w:rsidRPr="008B303E">
        <w:rPr>
          <w:rFonts w:ascii="Palatino Linotype" w:hAnsi="Palatino Linotype" w:cs="Tahoma"/>
          <w:sz w:val="24"/>
          <w:szCs w:val="24"/>
        </w:rPr>
        <w:t>Resolutora</w:t>
      </w:r>
      <w:r w:rsidRPr="008B303E">
        <w:rPr>
          <w:rFonts w:ascii="Palatino Linotype" w:hAnsi="Palatino Linotype" w:cs="Tahoma"/>
          <w:sz w:val="24"/>
          <w:szCs w:val="24"/>
        </w:rPr>
        <w:t xml:space="preserve"> no analice la respuesta a los puntos de la solicitud que no fueron motivo de agravio por parte del recurrente, no violenta el derecho humano previsto por </w:t>
      </w:r>
      <w:r w:rsidR="00E736A9">
        <w:rPr>
          <w:rFonts w:ascii="Palatino Linotype" w:hAnsi="Palatino Linotype" w:cs="Tahoma"/>
          <w:sz w:val="24"/>
          <w:szCs w:val="24"/>
        </w:rPr>
        <w:t>los</w:t>
      </w:r>
      <w:r w:rsidRPr="008B303E">
        <w:rPr>
          <w:rFonts w:ascii="Palatino Linotype" w:hAnsi="Palatino Linotype" w:cs="Tahoma"/>
          <w:sz w:val="24"/>
          <w:szCs w:val="24"/>
        </w:rPr>
        <w:t xml:space="preserve"> artículo</w:t>
      </w:r>
      <w:r w:rsidR="00E736A9">
        <w:rPr>
          <w:rFonts w:ascii="Palatino Linotype" w:hAnsi="Palatino Linotype" w:cs="Tahoma"/>
          <w:sz w:val="24"/>
          <w:szCs w:val="24"/>
        </w:rPr>
        <w:t>s</w:t>
      </w:r>
      <w:r w:rsidRPr="008B303E">
        <w:rPr>
          <w:rFonts w:ascii="Palatino Linotype" w:hAnsi="Palatino Linotype" w:cs="Tahoma"/>
          <w:sz w:val="24"/>
          <w:szCs w:val="24"/>
        </w:rPr>
        <w:t xml:space="preserve"> 6° de la Constitución Política de los Estados Unidos Mexicanos y 5° de la Constitución del Estado Libre y Soberano de México; lo anterior es así, en virtud de que el actor manifestó únicamente inconformidad con la respuesta</w:t>
      </w:r>
      <w:r w:rsidR="007F4F7D" w:rsidRPr="008B303E">
        <w:rPr>
          <w:rFonts w:ascii="Palatino Linotype" w:hAnsi="Palatino Linotype" w:cs="Tahoma"/>
          <w:sz w:val="24"/>
          <w:szCs w:val="24"/>
        </w:rPr>
        <w:t xml:space="preserve"> referente </w:t>
      </w:r>
      <w:r w:rsidR="00E74654">
        <w:rPr>
          <w:rFonts w:ascii="Palatino Linotype" w:hAnsi="Palatino Linotype" w:cs="Tahoma"/>
          <w:sz w:val="24"/>
          <w:szCs w:val="24"/>
        </w:rPr>
        <w:t xml:space="preserve">al </w:t>
      </w:r>
      <w:r w:rsidR="00340519">
        <w:rPr>
          <w:rFonts w:ascii="Palatino Linotype" w:hAnsi="Palatino Linotype" w:cs="Tahoma"/>
          <w:sz w:val="24"/>
          <w:szCs w:val="24"/>
        </w:rPr>
        <w:t>Temario de Inglés Propedéutico 1, de la Facultad de Derecho de la Universidad Autónoma del Estado de México</w:t>
      </w:r>
      <w:r w:rsidR="00E74654">
        <w:rPr>
          <w:rFonts w:ascii="Palatino Linotype" w:hAnsi="Palatino Linotype" w:cs="Tahoma"/>
          <w:sz w:val="24"/>
          <w:szCs w:val="24"/>
        </w:rPr>
        <w:t>.</w:t>
      </w:r>
    </w:p>
    <w:p w:rsidR="00071DD4" w:rsidRPr="008B303E" w:rsidRDefault="00071DD4" w:rsidP="007B4483">
      <w:pPr>
        <w:spacing w:after="0" w:line="360" w:lineRule="auto"/>
        <w:jc w:val="both"/>
        <w:rPr>
          <w:rFonts w:ascii="Palatino Linotype" w:hAnsi="Palatino Linotype" w:cs="Tahoma"/>
          <w:sz w:val="18"/>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Por las consideraciones expuestas, concluyo lo siguiente:</w:t>
      </w:r>
    </w:p>
    <w:p w:rsidR="00071DD4" w:rsidRPr="008B303E" w:rsidRDefault="00071DD4" w:rsidP="007B4483">
      <w:pPr>
        <w:spacing w:after="0" w:line="360" w:lineRule="auto"/>
        <w:jc w:val="both"/>
        <w:rPr>
          <w:rFonts w:ascii="Palatino Linotype" w:hAnsi="Palatino Linotype" w:cs="Tahoma"/>
          <w:sz w:val="20"/>
          <w:szCs w:val="24"/>
        </w:rPr>
      </w:pPr>
    </w:p>
    <w:p w:rsidR="00071DD4" w:rsidRPr="008B303E" w:rsidRDefault="00071DD4" w:rsidP="007B4483">
      <w:pPr>
        <w:pStyle w:val="Prrafodelista"/>
        <w:numPr>
          <w:ilvl w:val="0"/>
          <w:numId w:val="1"/>
        </w:num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En el presente caso, aplicaba la figura del </w:t>
      </w:r>
      <w:r w:rsidR="00E736A9">
        <w:rPr>
          <w:rFonts w:ascii="Palatino Linotype" w:hAnsi="Palatino Linotype" w:cs="Tahoma"/>
          <w:b/>
          <w:sz w:val="24"/>
          <w:szCs w:val="24"/>
        </w:rPr>
        <w:t>consentimiento tácito,</w:t>
      </w:r>
      <w:r w:rsidR="00340519">
        <w:rPr>
          <w:rFonts w:ascii="Palatino Linotype" w:hAnsi="Palatino Linotype" w:cs="Tahoma"/>
          <w:sz w:val="24"/>
          <w:szCs w:val="24"/>
        </w:rPr>
        <w:t xml:space="preserve"> por lo tanto, no </w:t>
      </w:r>
      <w:r w:rsidRPr="008B303E">
        <w:rPr>
          <w:rFonts w:ascii="Palatino Linotype" w:hAnsi="Palatino Linotype" w:cs="Tahoma"/>
          <w:sz w:val="24"/>
          <w:szCs w:val="24"/>
        </w:rPr>
        <w:t>debió analizar</w:t>
      </w:r>
      <w:r w:rsidR="00A37921">
        <w:rPr>
          <w:rFonts w:ascii="Palatino Linotype" w:hAnsi="Palatino Linotype" w:cs="Tahoma"/>
          <w:sz w:val="24"/>
          <w:szCs w:val="24"/>
        </w:rPr>
        <w:t>se</w:t>
      </w:r>
      <w:r w:rsidRPr="008B303E">
        <w:rPr>
          <w:rFonts w:ascii="Palatino Linotype" w:hAnsi="Palatino Linotype" w:cs="Tahoma"/>
          <w:sz w:val="24"/>
          <w:szCs w:val="24"/>
        </w:rPr>
        <w:t xml:space="preserve"> </w:t>
      </w:r>
      <w:r w:rsidR="00A37921">
        <w:rPr>
          <w:rFonts w:ascii="Palatino Linotype" w:hAnsi="Palatino Linotype" w:cs="Tahoma"/>
          <w:sz w:val="24"/>
          <w:szCs w:val="24"/>
        </w:rPr>
        <w:t>aquello</w:t>
      </w:r>
      <w:r w:rsidRPr="008B303E">
        <w:rPr>
          <w:rFonts w:ascii="Palatino Linotype" w:hAnsi="Palatino Linotype" w:cs="Tahoma"/>
          <w:sz w:val="24"/>
          <w:szCs w:val="24"/>
        </w:rPr>
        <w:t xml:space="preserve"> que no fue motivo de agravio;</w:t>
      </w:r>
    </w:p>
    <w:p w:rsidR="00071DD4" w:rsidRPr="008B303E" w:rsidRDefault="00071DD4" w:rsidP="007B4483">
      <w:pPr>
        <w:spacing w:after="0" w:line="360" w:lineRule="auto"/>
        <w:jc w:val="both"/>
        <w:rPr>
          <w:rFonts w:ascii="Palatino Linotype" w:hAnsi="Palatino Linotype" w:cs="Tahoma"/>
          <w:sz w:val="18"/>
          <w:szCs w:val="24"/>
        </w:rPr>
      </w:pPr>
    </w:p>
    <w:p w:rsidR="00071DD4" w:rsidRPr="008B303E" w:rsidRDefault="00071DD4" w:rsidP="007B4483">
      <w:pPr>
        <w:spacing w:after="0" w:line="360" w:lineRule="auto"/>
        <w:jc w:val="both"/>
        <w:rPr>
          <w:rFonts w:ascii="Palatino Linotype" w:hAnsi="Palatino Linotype" w:cs="Tahoma"/>
          <w:sz w:val="24"/>
          <w:szCs w:val="24"/>
        </w:rPr>
      </w:pPr>
      <w:r w:rsidRPr="008B303E">
        <w:rPr>
          <w:rFonts w:ascii="Palatino Linotype" w:hAnsi="Palatino Linotype" w:cs="Tahoma"/>
          <w:sz w:val="24"/>
          <w:szCs w:val="24"/>
        </w:rPr>
        <w:t xml:space="preserve">Así, con base en los razonamientos expuestos, </w:t>
      </w:r>
      <w:r w:rsidRPr="008B303E">
        <w:rPr>
          <w:rFonts w:ascii="Palatino Linotype" w:hAnsi="Palatino Linotype" w:cs="Tahoma"/>
          <w:b/>
          <w:sz w:val="24"/>
          <w:szCs w:val="24"/>
        </w:rPr>
        <w:t>se emite el presente Voto Particular</w:t>
      </w:r>
      <w:r w:rsidRPr="008B303E">
        <w:rPr>
          <w:rFonts w:ascii="Palatino Linotype" w:hAnsi="Palatino Linotype" w:cs="Tahoma"/>
          <w:sz w:val="24"/>
          <w:szCs w:val="24"/>
        </w:rPr>
        <w:t>.</w:t>
      </w:r>
    </w:p>
    <w:p w:rsidR="00E736A9" w:rsidRDefault="00E736A9" w:rsidP="007B4483">
      <w:pPr>
        <w:spacing w:after="0" w:line="360" w:lineRule="auto"/>
        <w:jc w:val="center"/>
        <w:rPr>
          <w:rFonts w:ascii="Palatino Linotype" w:hAnsi="Palatino Linotype" w:cs="Tahoma"/>
          <w:b/>
          <w:sz w:val="24"/>
          <w:szCs w:val="24"/>
        </w:rPr>
      </w:pPr>
    </w:p>
    <w:p w:rsidR="00071DD4" w:rsidRPr="008B303E" w:rsidRDefault="00071DD4" w:rsidP="007B4483">
      <w:pPr>
        <w:spacing w:after="0" w:line="360" w:lineRule="auto"/>
        <w:jc w:val="center"/>
        <w:rPr>
          <w:rFonts w:ascii="Palatino Linotype" w:hAnsi="Palatino Linotype" w:cs="Tahoma"/>
          <w:b/>
          <w:sz w:val="24"/>
          <w:szCs w:val="24"/>
        </w:rPr>
      </w:pPr>
      <w:r w:rsidRPr="008B303E">
        <w:rPr>
          <w:rFonts w:ascii="Palatino Linotype" w:hAnsi="Palatino Linotype" w:cs="Tahoma"/>
          <w:b/>
          <w:sz w:val="24"/>
          <w:szCs w:val="24"/>
        </w:rPr>
        <w:t>(Rúbrica)</w:t>
      </w:r>
    </w:p>
    <w:p w:rsidR="00071DD4" w:rsidRPr="008B303E" w:rsidRDefault="00071DD4" w:rsidP="007B4483">
      <w:pPr>
        <w:spacing w:after="0" w:line="360" w:lineRule="auto"/>
        <w:jc w:val="center"/>
        <w:rPr>
          <w:rFonts w:ascii="Palatino Linotype" w:hAnsi="Palatino Linotype" w:cs="Tahoma"/>
          <w:b/>
          <w:sz w:val="24"/>
          <w:szCs w:val="24"/>
        </w:rPr>
      </w:pPr>
      <w:bookmarkStart w:id="0" w:name="_GoBack"/>
      <w:bookmarkEnd w:id="0"/>
      <w:r w:rsidRPr="008B303E">
        <w:rPr>
          <w:rFonts w:ascii="Palatino Linotype" w:hAnsi="Palatino Linotype" w:cs="Tahoma"/>
          <w:b/>
          <w:sz w:val="24"/>
          <w:szCs w:val="24"/>
        </w:rPr>
        <w:t>Luis Gustavo Parra Noriega</w:t>
      </w:r>
    </w:p>
    <w:p w:rsidR="00040AE0" w:rsidRPr="008B303E" w:rsidRDefault="00071DD4" w:rsidP="007B4483">
      <w:pPr>
        <w:spacing w:after="0" w:line="360" w:lineRule="auto"/>
        <w:jc w:val="center"/>
        <w:rPr>
          <w:rFonts w:ascii="Palatino Linotype" w:hAnsi="Palatino Linotype"/>
        </w:rPr>
      </w:pPr>
      <w:r w:rsidRPr="008B303E">
        <w:rPr>
          <w:rFonts w:ascii="Palatino Linotype" w:hAnsi="Palatino Linotype" w:cs="Tahoma"/>
          <w:sz w:val="24"/>
          <w:szCs w:val="24"/>
        </w:rPr>
        <w:t>Comisionado</w:t>
      </w:r>
    </w:p>
    <w:sectPr w:rsidR="00040AE0" w:rsidRPr="008B303E" w:rsidSect="008B303E">
      <w:headerReference w:type="default" r:id="rId7"/>
      <w:footerReference w:type="default" r:id="rId8"/>
      <w:pgSz w:w="12240" w:h="15840" w:code="1"/>
      <w:pgMar w:top="1417"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7AC" w:rsidRDefault="00D637AC">
      <w:pPr>
        <w:spacing w:after="0" w:line="240" w:lineRule="auto"/>
      </w:pPr>
      <w:r>
        <w:separator/>
      </w:r>
    </w:p>
  </w:endnote>
  <w:endnote w:type="continuationSeparator" w:id="0">
    <w:p w:rsidR="00D637AC" w:rsidRDefault="00D6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F421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56BBF">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56BBF">
              <w:rPr>
                <w:b/>
                <w:bCs/>
                <w:noProof/>
              </w:rPr>
              <w:t>5</w:t>
            </w:r>
            <w:r>
              <w:rPr>
                <w:b/>
                <w:bCs/>
                <w:sz w:val="24"/>
                <w:szCs w:val="24"/>
              </w:rPr>
              <w:fldChar w:fldCharType="end"/>
            </w:r>
          </w:p>
        </w:sdtContent>
      </w:sdt>
    </w:sdtContent>
  </w:sdt>
  <w:p w:rsidR="007C4D31" w:rsidRDefault="00D637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7AC" w:rsidRDefault="00D637AC">
      <w:pPr>
        <w:spacing w:after="0" w:line="240" w:lineRule="auto"/>
      </w:pPr>
      <w:r>
        <w:separator/>
      </w:r>
    </w:p>
  </w:footnote>
  <w:footnote w:type="continuationSeparator" w:id="0">
    <w:p w:rsidR="00D637AC" w:rsidRDefault="00D63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6378"/>
    </w:tblGrid>
    <w:tr w:rsidR="0077694E" w:rsidRPr="001106EA" w:rsidTr="007139EA">
      <w:trPr>
        <w:trHeight w:val="2280"/>
      </w:trPr>
      <w:tc>
        <w:tcPr>
          <w:tcW w:w="2836" w:type="dxa"/>
          <w:vAlign w:val="bottom"/>
        </w:tcPr>
        <w:p w:rsidR="0077694E" w:rsidRDefault="00F42117" w:rsidP="0077694E">
          <w:pPr>
            <w:pStyle w:val="Encabezado"/>
            <w:tabs>
              <w:tab w:val="clear" w:pos="4252"/>
              <w:tab w:val="center" w:pos="2614"/>
            </w:tabs>
            <w:ind w:left="-255"/>
          </w:pPr>
          <w:r>
            <w:rPr>
              <w:noProof/>
              <w:sz w:val="10"/>
              <w:szCs w:val="10"/>
              <w:lang w:val="es-MX" w:eastAsia="es-MX"/>
            </w:rPr>
            <w:drawing>
              <wp:inline distT="0" distB="0" distL="0" distR="0" wp14:anchorId="255A330A" wp14:editId="1064D9E2">
                <wp:extent cx="1873633" cy="1126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D637AC" w:rsidP="0077694E">
          <w:pPr>
            <w:pStyle w:val="Encabezado"/>
            <w:tabs>
              <w:tab w:val="clear" w:pos="4252"/>
              <w:tab w:val="center" w:pos="2614"/>
            </w:tabs>
          </w:pPr>
        </w:p>
      </w:tc>
      <w:tc>
        <w:tcPr>
          <w:tcW w:w="6378" w:type="dxa"/>
          <w:vAlign w:val="center"/>
        </w:tcPr>
        <w:p w:rsidR="001106EA" w:rsidRPr="001106EA" w:rsidRDefault="00D637AC" w:rsidP="006812A4">
          <w:pPr>
            <w:pStyle w:val="Encabezado"/>
            <w:tabs>
              <w:tab w:val="left" w:pos="6134"/>
            </w:tabs>
            <w:ind w:left="-108" w:right="-250"/>
            <w:jc w:val="both"/>
            <w:rPr>
              <w:rFonts w:ascii="Tahoma" w:hAnsi="Tahoma" w:cs="Tahoma"/>
            </w:rPr>
          </w:pPr>
        </w:p>
        <w:p w:rsidR="001106EA" w:rsidRPr="008B303E" w:rsidRDefault="00F42117" w:rsidP="006812A4">
          <w:pPr>
            <w:pStyle w:val="Encabezado"/>
            <w:tabs>
              <w:tab w:val="left" w:pos="6134"/>
            </w:tabs>
            <w:ind w:left="-108" w:right="-250"/>
            <w:jc w:val="both"/>
            <w:rPr>
              <w:rFonts w:ascii="Palatino Linotype" w:hAnsi="Palatino Linotype" w:cs="Tahoma"/>
              <w:b/>
            </w:rPr>
          </w:pPr>
          <w:r w:rsidRPr="008B303E">
            <w:rPr>
              <w:rFonts w:ascii="Palatino Linotype" w:hAnsi="Palatino Linotype" w:cs="Tahoma"/>
              <w:b/>
            </w:rPr>
            <w:t>Voto Particular</w:t>
          </w:r>
        </w:p>
        <w:p w:rsidR="00E27C76" w:rsidRDefault="00F42117" w:rsidP="007139EA">
          <w:pPr>
            <w:pStyle w:val="Encabezado"/>
            <w:tabs>
              <w:tab w:val="left" w:pos="6134"/>
            </w:tabs>
            <w:ind w:left="-108" w:right="-250"/>
            <w:jc w:val="both"/>
            <w:rPr>
              <w:rFonts w:ascii="Palatino Linotype" w:hAnsi="Palatino Linotype" w:cs="Tahoma"/>
              <w:b/>
              <w:lang w:val="es-ES_tradnl"/>
            </w:rPr>
          </w:pPr>
          <w:r w:rsidRPr="008B303E">
            <w:rPr>
              <w:rFonts w:ascii="Palatino Linotype" w:hAnsi="Palatino Linotype" w:cs="Tahoma"/>
              <w:b/>
            </w:rPr>
            <w:t>Recurso de Revisión: 03</w:t>
          </w:r>
          <w:r w:rsidR="007139EA">
            <w:rPr>
              <w:rFonts w:ascii="Palatino Linotype" w:hAnsi="Palatino Linotype" w:cs="Tahoma"/>
              <w:b/>
            </w:rPr>
            <w:t>678</w:t>
          </w:r>
          <w:r w:rsidRPr="008B303E">
            <w:rPr>
              <w:rFonts w:ascii="Palatino Linotype" w:hAnsi="Palatino Linotype" w:cs="Tahoma"/>
              <w:b/>
            </w:rPr>
            <w:t>/INFOEM/IP/RR/2018</w:t>
          </w:r>
          <w:r w:rsidR="006812A4">
            <w:rPr>
              <w:rFonts w:ascii="Palatino Linotype" w:hAnsi="Palatino Linotype" w:cs="Tahoma"/>
              <w:b/>
            </w:rPr>
            <w:t xml:space="preserve"> </w:t>
          </w:r>
        </w:p>
        <w:p w:rsidR="008B303E" w:rsidRPr="00E27C76" w:rsidRDefault="008B303E" w:rsidP="006812A4">
          <w:pPr>
            <w:pStyle w:val="Encabezado"/>
            <w:tabs>
              <w:tab w:val="left" w:pos="6134"/>
            </w:tabs>
            <w:ind w:left="-108" w:right="-250"/>
            <w:jc w:val="both"/>
            <w:rPr>
              <w:rFonts w:ascii="Palatino Linotype" w:hAnsi="Palatino Linotype" w:cs="Tahoma"/>
              <w:b/>
              <w:lang w:val="es-ES_tradnl"/>
            </w:rPr>
          </w:pPr>
          <w:r>
            <w:rPr>
              <w:rFonts w:ascii="Palatino Linotype" w:hAnsi="Palatino Linotype" w:cs="Tahoma"/>
              <w:b/>
              <w:lang w:val="es-ES_tradnl"/>
            </w:rPr>
            <w:t xml:space="preserve">Sujeto Obligado: </w:t>
          </w:r>
          <w:r w:rsidR="00E27C76" w:rsidRPr="00E27C76">
            <w:rPr>
              <w:rFonts w:ascii="Palatino Linotype" w:hAnsi="Palatino Linotype" w:cs="Tahoma"/>
              <w:b/>
              <w:lang w:val="es-ES_tradnl"/>
            </w:rPr>
            <w:t xml:space="preserve">Universidad </w:t>
          </w:r>
          <w:r w:rsidR="007139EA">
            <w:rPr>
              <w:rFonts w:ascii="Palatino Linotype" w:hAnsi="Palatino Linotype" w:cs="Tahoma"/>
              <w:b/>
              <w:lang w:val="es-ES_tradnl"/>
            </w:rPr>
            <w:t>Autónoma del Estado de México</w:t>
          </w:r>
        </w:p>
        <w:p w:rsidR="00D17F1D" w:rsidRPr="001106EA" w:rsidRDefault="00F42117" w:rsidP="006812A4">
          <w:pPr>
            <w:pStyle w:val="Encabezado"/>
            <w:tabs>
              <w:tab w:val="left" w:pos="6134"/>
            </w:tabs>
            <w:ind w:left="-108" w:right="-250"/>
            <w:jc w:val="both"/>
            <w:rPr>
              <w:rFonts w:ascii="Tahoma" w:hAnsi="Tahoma" w:cs="Tahoma"/>
            </w:rPr>
          </w:pPr>
          <w:r w:rsidRPr="008B303E">
            <w:rPr>
              <w:rFonts w:ascii="Palatino Linotype" w:hAnsi="Palatino Linotype" w:cs="Tahoma"/>
              <w:b/>
            </w:rPr>
            <w:t xml:space="preserve">Comisionado Ponente: </w:t>
          </w:r>
          <w:r w:rsidR="00E27C76">
            <w:rPr>
              <w:rFonts w:ascii="Palatino Linotype" w:hAnsi="Palatino Linotype" w:cs="Tahoma"/>
              <w:b/>
            </w:rPr>
            <w:t>José Guadalupe Luna Hernández</w:t>
          </w:r>
        </w:p>
      </w:tc>
    </w:tr>
  </w:tbl>
  <w:p w:rsidR="00D55429" w:rsidRPr="001106EA" w:rsidRDefault="00D637AC">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F333D"/>
    <w:multiLevelType w:val="hybridMultilevel"/>
    <w:tmpl w:val="9502FF1C"/>
    <w:lvl w:ilvl="0" w:tplc="5AE6A0FC">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D4"/>
    <w:rsid w:val="00037555"/>
    <w:rsid w:val="00056BBF"/>
    <w:rsid w:val="000666DE"/>
    <w:rsid w:val="00071DD4"/>
    <w:rsid w:val="000B381B"/>
    <w:rsid w:val="001E087F"/>
    <w:rsid w:val="002B4C34"/>
    <w:rsid w:val="002E006C"/>
    <w:rsid w:val="00340519"/>
    <w:rsid w:val="003A5EE0"/>
    <w:rsid w:val="00412102"/>
    <w:rsid w:val="004F46AD"/>
    <w:rsid w:val="00503F24"/>
    <w:rsid w:val="00553CAC"/>
    <w:rsid w:val="00562484"/>
    <w:rsid w:val="005D5183"/>
    <w:rsid w:val="006812A4"/>
    <w:rsid w:val="00697B29"/>
    <w:rsid w:val="006B59E0"/>
    <w:rsid w:val="007139EA"/>
    <w:rsid w:val="007B4483"/>
    <w:rsid w:val="007C0333"/>
    <w:rsid w:val="007F4F7D"/>
    <w:rsid w:val="008B303E"/>
    <w:rsid w:val="00906D21"/>
    <w:rsid w:val="00997769"/>
    <w:rsid w:val="009E4D5A"/>
    <w:rsid w:val="009F3C0A"/>
    <w:rsid w:val="00A37921"/>
    <w:rsid w:val="00AB0D44"/>
    <w:rsid w:val="00AF0152"/>
    <w:rsid w:val="00B16EBE"/>
    <w:rsid w:val="00B43F4B"/>
    <w:rsid w:val="00BC17C1"/>
    <w:rsid w:val="00BF00D7"/>
    <w:rsid w:val="00CA4BCB"/>
    <w:rsid w:val="00D0798A"/>
    <w:rsid w:val="00D637AC"/>
    <w:rsid w:val="00D84D7B"/>
    <w:rsid w:val="00DB03B7"/>
    <w:rsid w:val="00DF1276"/>
    <w:rsid w:val="00E27C76"/>
    <w:rsid w:val="00E30C42"/>
    <w:rsid w:val="00E736A9"/>
    <w:rsid w:val="00E74654"/>
    <w:rsid w:val="00EA3C57"/>
    <w:rsid w:val="00EC3656"/>
    <w:rsid w:val="00F42117"/>
    <w:rsid w:val="00F471A3"/>
    <w:rsid w:val="00F86F4C"/>
    <w:rsid w:val="00FD4B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E98FE-78F2-4427-A089-58C76C5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D4"/>
    <w:rPr>
      <w:lang w:val="es-ES"/>
    </w:rPr>
  </w:style>
  <w:style w:type="paragraph" w:styleId="Ttulo2">
    <w:name w:val="heading 2"/>
    <w:basedOn w:val="Normal"/>
    <w:next w:val="Normal"/>
    <w:link w:val="Ttulo2Car"/>
    <w:uiPriority w:val="9"/>
    <w:unhideWhenUsed/>
    <w:qFormat/>
    <w:rsid w:val="00AF0152"/>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D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DD4"/>
    <w:rPr>
      <w:lang w:val="es-ES"/>
    </w:rPr>
  </w:style>
  <w:style w:type="paragraph" w:styleId="Piedepgina">
    <w:name w:val="footer"/>
    <w:basedOn w:val="Normal"/>
    <w:link w:val="PiedepginaCar"/>
    <w:uiPriority w:val="99"/>
    <w:unhideWhenUsed/>
    <w:rsid w:val="00071D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DD4"/>
    <w:rPr>
      <w:lang w:val="es-ES"/>
    </w:rPr>
  </w:style>
  <w:style w:type="table" w:styleId="Tablaconcuadrcula">
    <w:name w:val="Table Grid"/>
    <w:basedOn w:val="Tablanormal"/>
    <w:uiPriority w:val="39"/>
    <w:rsid w:val="00071DD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71DD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152"/>
    <w:rPr>
      <w:lang w:val="es-ES"/>
    </w:rPr>
  </w:style>
  <w:style w:type="character" w:customStyle="1" w:styleId="Ttulo2Car">
    <w:name w:val="Título 2 Car"/>
    <w:basedOn w:val="Fuentedeprrafopredeter"/>
    <w:link w:val="Ttulo2"/>
    <w:uiPriority w:val="9"/>
    <w:rsid w:val="00AF0152"/>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F12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F1276"/>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F1276"/>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1107</Words>
  <Characters>6093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USER</cp:lastModifiedBy>
  <cp:revision>3</cp:revision>
  <dcterms:created xsi:type="dcterms:W3CDTF">2018-12-11T22:13:00Z</dcterms:created>
  <dcterms:modified xsi:type="dcterms:W3CDTF">2018-12-11T22:18:00Z</dcterms:modified>
</cp:coreProperties>
</file>